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r w:rsidR="00C130CE">
        <w:rPr>
          <w:rFonts w:asciiTheme="majorHAnsi" w:hAnsiTheme="majorHAnsi" w:cs="Tahoma"/>
          <w:b/>
          <w:sz w:val="24"/>
          <w:szCs w:val="20"/>
        </w:rPr>
        <w:t xml:space="preserve"> tên SV: ngọ công kỳ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C130CE">
        <w:rPr>
          <w:rFonts w:asciiTheme="majorHAnsi" w:hAnsiTheme="majorHAnsi" w:cs="Tahoma"/>
          <w:b/>
          <w:caps/>
          <w:sz w:val="24"/>
          <w:szCs w:val="20"/>
        </w:rPr>
        <w:t>2311556245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25"/>
        <w:gridCol w:w="1099"/>
        <w:gridCol w:w="1066"/>
        <w:gridCol w:w="1501"/>
        <w:gridCol w:w="1891"/>
        <w:gridCol w:w="2008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6.912</w:t>
            </w:r>
          </w:p>
        </w:tc>
        <w:tc>
          <w:tcPr>
            <w:tcW w:w="189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7025459,2</w:t>
            </w:r>
          </w:p>
        </w:tc>
        <w:tc>
          <w:tcPr>
            <w:tcW w:w="160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56,320,512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1,288,490,188.8</w:t>
            </w:r>
          </w:p>
        </w:tc>
        <w:tc>
          <w:tcPr>
            <w:tcW w:w="1607" w:type="dxa"/>
            <w:vAlign w:val="center"/>
          </w:tcPr>
          <w:p w:rsidR="002A2B3C" w:rsidRPr="00F07747" w:rsidRDefault="00EB55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10,307,821,510.4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EB55A9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400,000,000 </w:t>
            </w:r>
            <w:r w:rsidR="00EB55A9"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EB55A9" w:rsidP="00EB55A9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133,300,000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EB55A9">
              <w:rPr>
                <w:rFonts w:asciiTheme="majorHAnsi" w:hAnsiTheme="majorHAnsi" w:cs="Tahoma"/>
                <w:sz w:val="24"/>
                <w:szCs w:val="20"/>
              </w:rPr>
              <w:t>xử lý trong thờ</w:t>
            </w:r>
            <w:r>
              <w:rPr>
                <w:rFonts w:asciiTheme="majorHAnsi" w:hAnsiTheme="majorHAnsi" w:cs="Tahoma"/>
                <w:sz w:val="24"/>
                <w:szCs w:val="20"/>
              </w:rPr>
              <w:t>i gian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Xử lý 2,2 tỷ dữ liệu/1s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</w:t>
            </w:r>
            <w:r w:rsidR="00EB55A9">
              <w:rPr>
                <w:rFonts w:asciiTheme="majorHAnsi" w:hAnsiTheme="majorHAnsi" w:cs="Tahoma"/>
                <w:sz w:val="24"/>
                <w:szCs w:val="20"/>
              </w:rPr>
              <w:t>1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>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85 312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>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B55A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0.75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12.5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0.125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1.875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</w:t>
            </w:r>
            <w:r w:rsidR="00A51AE5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9.6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0.3125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2.5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5 </w:t>
            </w:r>
            <w:r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51AE5">
              <w:rPr>
                <w:rFonts w:ascii="Arial" w:hAnsi="Arial" w:cs="Arial"/>
                <w:color w:val="202124"/>
                <w:szCs w:val="30"/>
                <w:shd w:val="clear" w:color="auto" w:fill="FFFFFF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51AE5">
              <w:rPr>
                <w:rFonts w:ascii="Arial" w:hAnsi="Arial" w:cs="Arial"/>
                <w:color w:val="202124"/>
                <w:szCs w:val="30"/>
                <w:shd w:val="clear" w:color="auto" w:fill="FFFFFF"/>
              </w:rPr>
              <w:t> </w:t>
            </w:r>
            <w:r w:rsidRPr="00A51AE5">
              <w:rPr>
                <w:rFonts w:ascii="Arial" w:hAnsi="Arial" w:cs="Arial"/>
                <w:color w:val="040C28"/>
                <w:szCs w:val="30"/>
              </w:rPr>
              <w:t>ổ cứng HDD có tốc độ quay ổ đĩa đạt 7200 vòng một phút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2A2B3C" w:rsidRPr="00A51AE5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A51AE5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A51AE5">
              <w:rPr>
                <w:rFonts w:ascii="Arial" w:hAnsi="Arial" w:cs="Arial"/>
                <w:color w:val="555555"/>
                <w:szCs w:val="21"/>
                <w:shd w:val="clear" w:color="auto" w:fill="FFFFFF"/>
              </w:rPr>
              <w:t>camera độ phân giải siêu cao, ghi lại hình ảnh 5 megapixel hàng đầu với cảm biến camera được tăng cường.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bits</w:t>
            </w:r>
          </w:p>
        </w:tc>
        <w:tc>
          <w:tcPr>
            <w:tcW w:w="4315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51AE5">
              <w:rPr>
                <w:rFonts w:ascii="Arial" w:hAnsi="Arial" w:cs="Arial"/>
                <w:sz w:val="20"/>
                <w:szCs w:val="30"/>
              </w:rPr>
              <w:t>kiểu 24bit được biểu diễn dạng nhị phân 8bit ( 2 mũ 8 =256 ) với mỗi màu có 256 sắc độ từ đó 3 màu sẽ có hơn 16,7 triệu màu</w:t>
            </w:r>
          </w:p>
        </w:tc>
      </w:tr>
      <w:tr w:rsidR="002A2B3C" w:rsidRPr="00185B1B" w:rsidTr="00B37031">
        <w:trPr>
          <w:trHeight w:val="845"/>
        </w:trPr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A51AE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  <w:r w:rsidRPr="00A51AE5">
              <w:rPr>
                <w:rFonts w:ascii="Arial" w:hAnsi="Arial" w:cs="Arial"/>
                <w:color w:val="040C28"/>
                <w:sz w:val="18"/>
                <w:szCs w:val="30"/>
              </w:rPr>
              <w:t>độ phân giải Full HD bao gồm 1920 hàng ngang chứa điểm ảnh (hay còn gọi là pixels) và 1080 hàng dọc chứa điểm ảnh theo tỷ lệ 16:9</w:t>
            </w:r>
          </w:p>
        </w:tc>
      </w:tr>
      <w:tr w:rsidR="0068505B" w:rsidRPr="00185B1B" w:rsidTr="00B37031">
        <w:trPr>
          <w:trHeight w:val="665"/>
        </w:trPr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B37031" w:rsidRPr="00B37031" w:rsidRDefault="00B37031" w:rsidP="00B37031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Segoe UI" w:eastAsia="Times New Roman" w:hAnsi="Segoe UI" w:cs="Segoe UI"/>
                <w:bCs/>
                <w:szCs w:val="36"/>
              </w:rPr>
            </w:pPr>
            <w:r w:rsidRPr="00B37031">
              <w:rPr>
                <w:rFonts w:ascii="Segoe UI" w:eastAsia="Times New Roman" w:hAnsi="Segoe UI" w:cs="Segoe UI"/>
                <w:bCs/>
                <w:szCs w:val="36"/>
              </w:rPr>
              <w:t>Kilobits Per Second</w:t>
            </w:r>
          </w:p>
          <w:p w:rsidR="0068505B" w:rsidRPr="00F07747" w:rsidRDefault="006850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68505B" w:rsidRPr="00B37031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B37031">
              <w:rPr>
                <w:rFonts w:ascii="Arial" w:hAnsi="Arial" w:cs="Arial"/>
                <w:color w:val="040C28"/>
                <w:sz w:val="18"/>
                <w:szCs w:val="30"/>
              </w:rPr>
              <w:t>Cung cấp chất lượng âm thanh tốt hơn cho âm nhạc và video, đặc biệt là trong các tệp âm thanh nén như MP3 hoặc luồng phát trực tiếp</w:t>
            </w:r>
          </w:p>
        </w:tc>
      </w:tr>
      <w:tr w:rsidR="002A2B3C" w:rsidRPr="00185B1B" w:rsidTr="00B37031">
        <w:trPr>
          <w:trHeight w:val="647"/>
        </w:trPr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B37031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37031">
              <w:rPr>
                <w:rFonts w:ascii="Arial" w:hAnsi="Arial" w:cs="Arial"/>
                <w:color w:val="202124"/>
                <w:sz w:val="20"/>
                <w:szCs w:val="30"/>
                <w:shd w:val="clear" w:color="auto" w:fill="FFFFFF"/>
              </w:rPr>
              <w:t> </w:t>
            </w:r>
            <w:r w:rsidRPr="00B37031">
              <w:rPr>
                <w:rFonts w:ascii="Arial" w:hAnsi="Arial" w:cs="Arial"/>
                <w:color w:val="040C28"/>
                <w:sz w:val="20"/>
                <w:szCs w:val="30"/>
              </w:rPr>
              <w:t>định dạng tín hiệu HDTV tiến tới với 720 đường ngang và tỷ lệ khung hình (AR) là 16:9, thường được biết đến là HDTV màn hình rộng (1,78:1)</w:t>
            </w:r>
            <w:r w:rsidRPr="00B37031">
              <w:rPr>
                <w:rFonts w:ascii="Arial" w:hAnsi="Arial" w:cs="Arial"/>
                <w:color w:val="202124"/>
                <w:sz w:val="20"/>
                <w:szCs w:val="30"/>
                <w:shd w:val="clear" w:color="auto" w:fill="FFFFFF"/>
              </w:rPr>
              <w:t>.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Full </w:t>
            </w: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37031">
              <w:rPr>
                <w:rFonts w:ascii="Arial" w:hAnsi="Arial" w:cs="Arial"/>
                <w:color w:val="040C28"/>
                <w:sz w:val="20"/>
                <w:szCs w:val="30"/>
              </w:rPr>
              <w:t>tỉ lệ mật độ điểm ảnh của 1080p cũng gồm 1920 x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Ultra </w:t>
            </w: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B3703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37031">
              <w:rPr>
                <w:rFonts w:ascii="Arial" w:hAnsi="Arial" w:cs="Arial"/>
                <w:color w:val="040C28"/>
                <w:sz w:val="20"/>
                <w:szCs w:val="30"/>
              </w:rPr>
              <w:t>tiêu chuẩn điện ảnh kỹ thuật số chuyên nghiệp, còn UHD chỉ là tiêu chuẩn nội dung được phát sóng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250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  <w:r w:rsidR="00C130CE" w:rsidRPr="00C130CE"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C130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7239F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239F9"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7239F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B9676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  <w:r w:rsidR="00C130CE" w:rsidRPr="00C130CE"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C130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239F9"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C130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130CE">
              <w:rPr>
                <w:rFonts w:asciiTheme="majorHAnsi" w:hAnsiTheme="majorHAnsi" w:cs="Tahoma"/>
                <w:b/>
                <w:sz w:val="24"/>
                <w:szCs w:val="20"/>
              </w:rPr>
              <w:t>10010110</w:t>
            </w:r>
          </w:p>
        </w:tc>
        <w:tc>
          <w:tcPr>
            <w:tcW w:w="1260" w:type="dxa"/>
          </w:tcPr>
          <w:p w:rsidR="00B47AFF" w:rsidRPr="00185B1B" w:rsidRDefault="00C130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239F9">
              <w:rPr>
                <w:rFonts w:asciiTheme="majorHAnsi" w:hAnsiTheme="majorHAnsi" w:cs="Tahoma"/>
                <w:b/>
                <w:sz w:val="24"/>
                <w:szCs w:val="20"/>
              </w:rPr>
              <w:t>11001100</w:t>
            </w:r>
          </w:p>
        </w:tc>
        <w:tc>
          <w:tcPr>
            <w:tcW w:w="117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CC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C130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130CE"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C130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239F9"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7239F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7239F9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7239F9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7239F9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7239F9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7239F9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7239F9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7239F9"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  <w:r w:rsidR="007239F9">
              <w:rPr>
                <w:rFonts w:asciiTheme="majorHAnsi" w:hAnsiTheme="majorHAnsi" w:cs="Tahoma"/>
                <w:b/>
                <w:sz w:val="24"/>
                <w:szCs w:val="20"/>
              </w:rPr>
              <w:t>000</w:t>
            </w:r>
            <w:r w:rsidR="007239F9" w:rsidRPr="007239F9"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628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  <w:r w:rsidR="007239F9">
              <w:rPr>
                <w:rFonts w:asciiTheme="majorHAnsi" w:hAnsiTheme="majorHAnsi" w:cs="Tahoma"/>
                <w:b/>
                <w:sz w:val="24"/>
                <w:szCs w:val="20"/>
              </w:rPr>
              <w:t>1110001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</w:t>
            </w: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111000</w:t>
            </w:r>
          </w:p>
        </w:tc>
        <w:tc>
          <w:tcPr>
            <w:tcW w:w="1710" w:type="dxa"/>
          </w:tcPr>
          <w:p w:rsidR="00792F68" w:rsidRPr="00185B1B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B9676A" w:rsidP="00B9676A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</w:t>
            </w: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10</w:t>
            </w: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100</w:t>
            </w:r>
          </w:p>
        </w:tc>
        <w:tc>
          <w:tcPr>
            <w:tcW w:w="1628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710" w:type="dxa"/>
          </w:tcPr>
          <w:p w:rsidR="00792F68" w:rsidRPr="00185B1B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</w:t>
            </w: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10000</w:t>
            </w:r>
          </w:p>
        </w:tc>
        <w:tc>
          <w:tcPr>
            <w:tcW w:w="1628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B9676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9676A"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710" w:type="dxa"/>
          </w:tcPr>
          <w:p w:rsidR="00792F68" w:rsidRPr="00185B1B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</w:t>
            </w:r>
            <w:r w:rsidRPr="00CE2B04">
              <w:rPr>
                <w:rFonts w:asciiTheme="majorHAnsi" w:hAnsiTheme="majorHAnsi" w:cs="Tahoma"/>
                <w:b/>
                <w:sz w:val="24"/>
                <w:szCs w:val="20"/>
              </w:rPr>
              <w:t>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</w:t>
            </w:r>
            <w:r w:rsidRPr="00CE2B04">
              <w:rPr>
                <w:rFonts w:asciiTheme="majorHAnsi" w:hAnsiTheme="majorHAnsi" w:cs="Tahoma"/>
                <w:b/>
                <w:sz w:val="24"/>
                <w:szCs w:val="20"/>
              </w:rPr>
              <w:t>10010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</w:t>
            </w:r>
            <w:r w:rsidRPr="00CE2B04">
              <w:rPr>
                <w:rFonts w:asciiTheme="majorHAnsi" w:hAnsiTheme="majorHAnsi" w:cs="Tahoma"/>
                <w:b/>
                <w:sz w:val="24"/>
                <w:szCs w:val="20"/>
              </w:rPr>
              <w:t>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</w:t>
            </w:r>
            <w:r w:rsidRPr="00CE2B04">
              <w:rPr>
                <w:rFonts w:asciiTheme="majorHAnsi" w:hAnsiTheme="majorHAnsi" w:cs="Tahoma"/>
                <w:b/>
                <w:sz w:val="24"/>
                <w:szCs w:val="20"/>
              </w:rPr>
              <w:t>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CE2B04"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-2</w:t>
            </w:r>
            <w:r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11111010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CE2B04"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-12</w:t>
            </w:r>
            <w:r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CE2B0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E2B04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11110100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703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703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703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B3703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FD5398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FD5398" w:rsidRDefault="00FD5398" w:rsidP="00FD5398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FD5398">
              <w:rPr>
                <w:rFonts w:asciiTheme="majorHAnsi" w:hAnsiTheme="majorHAnsi" w:cs="Tahoma"/>
                <w:b/>
                <w:sz w:val="24"/>
                <w:szCs w:val="20"/>
              </w:rPr>
              <w:t>1110 0101</w:t>
            </w:r>
            <w:r w:rsidR="00B37031" w:rsidRPr="00FD5398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FD5398">
              <w:rPr>
                <w:rFonts w:asciiTheme="majorHAnsi" w:hAnsiTheme="majorHAnsi" w:cs="Tahoma"/>
                <w:b/>
                <w:sz w:val="24"/>
                <w:szCs w:val="20"/>
              </w:rPr>
              <w:t>00</w:t>
            </w:r>
            <w:r w:rsidR="00B37031" w:rsidRPr="00FD5398">
              <w:rPr>
                <w:rFonts w:asciiTheme="majorHAnsi" w:hAnsiTheme="majorHAnsi" w:cs="Tahoma"/>
                <w:b/>
                <w:sz w:val="24"/>
                <w:szCs w:val="20"/>
              </w:rPr>
              <w:t>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B37031" w:rsidRPr="00FD5398">
              <w:rPr>
                <w:rFonts w:asciiTheme="majorHAnsi" w:hAnsiTheme="majorHAnsi" w:cs="Tahoma"/>
                <w:b/>
                <w:sz w:val="24"/>
                <w:szCs w:val="20"/>
              </w:rPr>
              <w:t>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D5398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D5398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39F9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51AE5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031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676A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30CE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2B04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55A9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5398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B221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7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703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CBD70B-9EF9-456B-B193-229C8B1C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2024-01-02T01:56:00Z</dcterms:created>
  <dcterms:modified xsi:type="dcterms:W3CDTF">2024-01-02T01:56:00Z</dcterms:modified>
</cp:coreProperties>
</file>